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B041" w14:textId="77777777" w:rsidR="00B128F9" w:rsidRDefault="00B128F9" w:rsidP="00B128F9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128F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B128F9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128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128F9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B128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>—————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r w:rsidRPr="00B128F9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128F9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B128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B128F9">
        <w:rPr>
          <w:rFonts w:ascii="Times New Roman" w:hAnsi="Times New Roman" w:cs="Times New Roman"/>
          <w:i/>
          <w:iCs/>
          <w:sz w:val="26"/>
          <w:szCs w:val="26"/>
        </w:rPr>
        <w:t xml:space="preserve">), </w:t>
      </w:r>
      <w:proofErr w:type="spellStart"/>
      <w:r w:rsidRPr="00B128F9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proofErr w:type="spellStart"/>
      <w:r w:rsidRPr="00B128F9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i/>
          <w:iCs/>
          <w:sz w:val="26"/>
          <w:szCs w:val="26"/>
        </w:rPr>
        <w:t xml:space="preserve"> … </w:t>
      </w:r>
      <w:proofErr w:type="spellStart"/>
      <w:r w:rsidRPr="00B128F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B128F9">
        <w:rPr>
          <w:rFonts w:ascii="Times New Roman" w:hAnsi="Times New Roman" w:cs="Times New Roman"/>
          <w:i/>
          <w:iCs/>
          <w:sz w:val="26"/>
          <w:szCs w:val="26"/>
        </w:rPr>
        <w:t xml:space="preserve"> 20…</w:t>
      </w:r>
    </w:p>
    <w:p w14:paraId="7A3CF22E" w14:textId="3140C52A" w:rsidR="00B128F9" w:rsidRPr="00B128F9" w:rsidRDefault="00B128F9" w:rsidP="00B128F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28F9">
        <w:rPr>
          <w:rFonts w:ascii="Times New Roman" w:hAnsi="Times New Roman" w:cs="Times New Roman"/>
          <w:sz w:val="26"/>
          <w:szCs w:val="26"/>
        </w:rPr>
        <w:br/>
      </w:r>
      <w:r w:rsidRPr="00B128F9">
        <w:rPr>
          <w:rFonts w:ascii="Times New Roman" w:hAnsi="Times New Roman" w:cs="Times New Roman"/>
          <w:b/>
          <w:bCs/>
          <w:sz w:val="26"/>
          <w:szCs w:val="26"/>
        </w:rPr>
        <w:t>HỢP ĐỒNG XÂY DỰNG</w:t>
      </w:r>
      <w:r w:rsidRPr="00B128F9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b/>
          <w:bCs/>
          <w:sz w:val="26"/>
          <w:szCs w:val="26"/>
        </w:rPr>
        <w:t>: …………</w:t>
      </w:r>
      <w:proofErr w:type="gramStart"/>
      <w:r w:rsidRPr="00B128F9">
        <w:rPr>
          <w:rFonts w:ascii="Times New Roman" w:hAnsi="Times New Roman" w:cs="Times New Roman"/>
          <w:b/>
          <w:bCs/>
          <w:sz w:val="26"/>
          <w:szCs w:val="26"/>
        </w:rPr>
        <w:t>…./</w:t>
      </w:r>
      <w:proofErr w:type="gramEnd"/>
      <w:r w:rsidRPr="00B128F9">
        <w:rPr>
          <w:rFonts w:ascii="Times New Roman" w:hAnsi="Times New Roman" w:cs="Times New Roman"/>
          <w:b/>
          <w:bCs/>
          <w:sz w:val="26"/>
          <w:szCs w:val="26"/>
        </w:rPr>
        <w:t>HĐ-XD</w:t>
      </w:r>
    </w:p>
    <w:p w14:paraId="3A9EB808" w14:textId="77777777" w:rsidR="00B128F9" w:rsidRPr="00B128F9" w:rsidRDefault="00B128F9" w:rsidP="00B128F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23C314" w14:textId="77777777" w:rsidR="00B128F9" w:rsidRPr="00B128F9" w:rsidRDefault="00B128F9" w:rsidP="00B128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20…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Giao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A):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……………………………………………………………………………………………..;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): …………………………………;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……………; Fax: ………………; Email: …………………………………..(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……………..;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Thành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………;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Theo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B):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……………………………………………………………………………………………..;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…………………………………………………………………………………..;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): …………………………………;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……………; Fax: ………………; Email: ………………………………….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…………………………………………………………………………………………….;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r w:rsidRPr="00B128F9">
        <w:rPr>
          <w:rFonts w:ascii="Times New Roman" w:hAnsi="Times New Roman" w:cs="Times New Roman"/>
          <w:sz w:val="26"/>
          <w:szCs w:val="26"/>
        </w:rPr>
        <w:lastRenderedPageBreak/>
        <w:t xml:space="preserve">– Thành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……………………………….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………;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Theo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……………………………… do ……………………………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………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HAI BÊN THỎA THUẬN KÝ KẾT HỢP ĐỒNG XÂY DỰNG VỚI NHỮNG ĐIỀU KHOẢN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/…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Việt Nam.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Trường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/…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4.1.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+ Tuân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khuất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+ Công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4.2.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5. Bảo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Bảo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/…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/…)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5.1.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/…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lastRenderedPageBreak/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/…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khiếm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5.2.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I.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5.3.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3%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5%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6.1.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HĐ): ………đ;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6.2.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HĐ): ………đ;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6.3.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 ……………………………</w:t>
      </w:r>
      <w:proofErr w:type="gramStart"/>
      <w:r w:rsidRPr="00B128F9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HĐ): ………đ;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…………………………………………………………………………..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(Chi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HĐ)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) so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r w:rsidRPr="00B128F9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đoái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c. Trường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lốc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…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7. Thanh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7.1.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7.2. Thanh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Hai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Sau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7.3.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7.4.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Việt Nam;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8. 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Bảo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tuỳ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9. Bảo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Trong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10. Tranh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Trong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Trường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r w:rsidRPr="00B128F9">
        <w:rPr>
          <w:rFonts w:ascii="Times New Roman" w:hAnsi="Times New Roman" w:cs="Times New Roman"/>
          <w:sz w:val="26"/>
          <w:szCs w:val="26"/>
        </w:rPr>
        <w:lastRenderedPageBreak/>
        <w:t xml:space="preserve">11.1.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lốc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128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thảm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cấm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Việt Nam…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+ Tiến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+ Thông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11.2. Trong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12.1.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12.2.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kia,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3. Khi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13.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13.1.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…….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12%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13.2.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lastRenderedPageBreak/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Trong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12%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14. Quyền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15. Quyền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16.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. Trường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HĐ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17.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br/>
        <w:t xml:space="preserve">17.1. Các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: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128F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–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3: Tiến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17.2.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17.3. Hai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.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17.4.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;</w:t>
      </w:r>
      <w:r w:rsidRPr="00B128F9">
        <w:rPr>
          <w:rFonts w:ascii="Times New Roman" w:hAnsi="Times New Roman" w:cs="Times New Roman"/>
          <w:sz w:val="26"/>
          <w:szCs w:val="26"/>
        </w:rPr>
        <w:br/>
        <w:t xml:space="preserve">17.5. Hiệu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… (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128F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28F9">
        <w:rPr>
          <w:rFonts w:ascii="Times New Roman" w:hAnsi="Times New Roman" w:cs="Times New Roman"/>
          <w:sz w:val="26"/>
          <w:szCs w:val="26"/>
        </w:rPr>
        <w:t>).</w:t>
      </w: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380"/>
      </w:tblGrid>
      <w:tr w:rsidR="00B128F9" w:rsidRPr="00B128F9" w14:paraId="03920007" w14:textId="77777777" w:rsidTr="00B128F9">
        <w:tc>
          <w:tcPr>
            <w:tcW w:w="4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FF8D30" w14:textId="77777777" w:rsidR="00B128F9" w:rsidRPr="00B128F9" w:rsidRDefault="00B128F9" w:rsidP="00B128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ĐẠI DIỆN BÊN A</w:t>
            </w:r>
          </w:p>
        </w:tc>
        <w:tc>
          <w:tcPr>
            <w:tcW w:w="4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D849C0" w14:textId="77777777" w:rsidR="00B128F9" w:rsidRPr="00B128F9" w:rsidRDefault="00B128F9" w:rsidP="00B128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ĐẠI DIỆN BÊN B</w:t>
            </w:r>
          </w:p>
        </w:tc>
      </w:tr>
      <w:tr w:rsidR="00B128F9" w:rsidRPr="00B128F9" w14:paraId="3B2262E8" w14:textId="77777777" w:rsidTr="00B128F9">
        <w:tc>
          <w:tcPr>
            <w:tcW w:w="4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17C5A4" w14:textId="77777777" w:rsidR="00B128F9" w:rsidRPr="00B128F9" w:rsidRDefault="00B128F9" w:rsidP="00B128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5E7CB" w14:textId="77777777" w:rsidR="00B128F9" w:rsidRPr="00B128F9" w:rsidRDefault="00B128F9" w:rsidP="00B128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  <w:p w14:paraId="079A079A" w14:textId="77777777" w:rsidR="00B128F9" w:rsidRPr="00B128F9" w:rsidRDefault="00B128F9" w:rsidP="00B128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B128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54C769D" w14:textId="77777777" w:rsidR="00FF5649" w:rsidRPr="00B128F9" w:rsidRDefault="00FF5649" w:rsidP="00B128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F5649" w:rsidRPr="00B1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F9"/>
    <w:rsid w:val="00B128F9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7BA6"/>
  <w15:chartTrackingRefBased/>
  <w15:docId w15:val="{B575277D-6294-4B40-BFCC-3879DB31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2023-12-25T15:36:00Z</dcterms:created>
  <dcterms:modified xsi:type="dcterms:W3CDTF">2023-12-25T15:38:00Z</dcterms:modified>
</cp:coreProperties>
</file>