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CAF5" w14:textId="77777777" w:rsidR="00154467" w:rsidRPr="00154467" w:rsidRDefault="00154467" w:rsidP="001544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79ABD505" w14:textId="77777777" w:rsidR="00154467" w:rsidRPr="00154467" w:rsidRDefault="00154467" w:rsidP="001544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50180D9D" w14:textId="77777777" w:rsidR="00154467" w:rsidRPr="00154467" w:rsidRDefault="00154467" w:rsidP="001544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————–</w:t>
      </w:r>
    </w:p>
    <w:p w14:paraId="45CF0FFC" w14:textId="77777777" w:rsidR="00154467" w:rsidRPr="00154467" w:rsidRDefault="00154467" w:rsidP="001544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DỊCH VỤ HOÀN CÔNG NHÀ Ở</w:t>
      </w:r>
    </w:p>
    <w:p w14:paraId="33A5091E" w14:textId="77777777" w:rsidR="00154467" w:rsidRPr="00154467" w:rsidRDefault="00154467" w:rsidP="001544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 …/…</w:t>
      </w:r>
    </w:p>
    <w:p w14:paraId="5D5BA42E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Căn cứ:</w:t>
      </w:r>
    </w:p>
    <w:p w14:paraId="1FB66236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Bộ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luật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dân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sự 2015 và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văn bản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hướng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dẫn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;</w:t>
      </w:r>
    </w:p>
    <w:p w14:paraId="32E281DE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Luật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xây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dựng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2014 được sửa đổi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bổ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sung 2020 và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văn bản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hướng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dẫn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;</w:t>
      </w:r>
    </w:p>
    <w:p w14:paraId="369CE9BB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– Nhu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cầu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năng của </w:t>
      </w:r>
      <w:proofErr w:type="spellStart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bên.</w:t>
      </w:r>
    </w:p>
    <w:p w14:paraId="3CBF7ABC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nay, ngày …, chúng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00D530B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22188CFD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A. Bên A (Bên thuê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vụ)</w:t>
      </w:r>
    </w:p>
    <w:p w14:paraId="22E5884C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 Tên:</w:t>
      </w:r>
    </w:p>
    <w:p w14:paraId="5AAAA2E6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</w:t>
      </w:r>
    </w:p>
    <w:p w14:paraId="5F3842D8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0C694AE3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cccd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                       Ngày cấp:                          </w:t>
      </w:r>
    </w:p>
    <w:p w14:paraId="3E6AA7F4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B. Bên B (Bên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cung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vụ)</w:t>
      </w:r>
    </w:p>
    <w:p w14:paraId="1CBA0C0B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 Công ty:</w:t>
      </w:r>
    </w:p>
    <w:p w14:paraId="286CB1A7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</w:t>
      </w:r>
    </w:p>
    <w:p w14:paraId="6CE81B39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1F694575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49A54C6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Người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                                              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</w:t>
      </w:r>
    </w:p>
    <w:p w14:paraId="4FB2FD68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Hai bên cùng đồng ý giao kết </w:t>
      </w:r>
      <w:hyperlink r:id="rId5" w:history="1"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Hợp đồng </w:t>
        </w:r>
        <w:proofErr w:type="spellStart"/>
        <w:r w:rsidRPr="00154467">
          <w:rPr>
            <w:rFonts w:eastAsia="Times New Roman" w:cs="Times New Roman"/>
            <w:kern w:val="0"/>
            <w:szCs w:val="26"/>
            <w14:ligatures w14:val="none"/>
          </w:rPr>
          <w:t>dịch</w:t>
        </w:r>
        <w:proofErr w:type="spellEnd"/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 vụ </w:t>
        </w:r>
        <w:proofErr w:type="spellStart"/>
        <w:r w:rsidRPr="00154467">
          <w:rPr>
            <w:rFonts w:eastAsia="Times New Roman" w:cs="Times New Roman"/>
            <w:kern w:val="0"/>
            <w:szCs w:val="26"/>
            <w14:ligatures w14:val="none"/>
          </w:rPr>
          <w:t>hoàn</w:t>
        </w:r>
        <w:proofErr w:type="spellEnd"/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 công nhà ở</w:t>
        </w:r>
      </w:hyperlink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với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0B05194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1: Đối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tượng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của hợp đồng</w:t>
      </w:r>
    </w:p>
    <w:p w14:paraId="27366998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đồng ý thuê và Bên B đồng ý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nhà ở bao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việc:</w:t>
      </w:r>
    </w:p>
    <w:p w14:paraId="6D7DA2FD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thực hiện để đánh giá chính xác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vi phạm nếu có;</w:t>
      </w:r>
    </w:p>
    <w:p w14:paraId="07E2BBA6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Thực hiện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công;</w:t>
      </w:r>
    </w:p>
    <w:p w14:paraId="20458CF9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Thay mặt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khách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nộp và lấy giấy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đã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73DF2BE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2: Thực hiện hợp đồng</w:t>
      </w:r>
    </w:p>
    <w:p w14:paraId="0E96250A" w14:textId="77777777" w:rsidR="00154467" w:rsidRPr="00154467" w:rsidRDefault="00154467" w:rsidP="00154467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để làm </w:t>
      </w:r>
      <w:hyperlink r:id="rId6" w:history="1">
        <w:proofErr w:type="spellStart"/>
        <w:r w:rsidRPr="00154467">
          <w:rPr>
            <w:rFonts w:eastAsia="Times New Roman" w:cs="Times New Roman"/>
            <w:kern w:val="0"/>
            <w:szCs w:val="26"/>
            <w14:ligatures w14:val="none"/>
          </w:rPr>
          <w:t>hồ</w:t>
        </w:r>
        <w:proofErr w:type="spellEnd"/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 </w:t>
        </w:r>
        <w:proofErr w:type="spellStart"/>
        <w:r w:rsidRPr="00154467">
          <w:rPr>
            <w:rFonts w:eastAsia="Times New Roman" w:cs="Times New Roman"/>
            <w:kern w:val="0"/>
            <w:szCs w:val="26"/>
            <w14:ligatures w14:val="none"/>
          </w:rPr>
          <w:t>sơ</w:t>
        </w:r>
        <w:proofErr w:type="spellEnd"/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 </w:t>
        </w:r>
        <w:proofErr w:type="spellStart"/>
        <w:r w:rsidRPr="00154467">
          <w:rPr>
            <w:rFonts w:eastAsia="Times New Roman" w:cs="Times New Roman"/>
            <w:kern w:val="0"/>
            <w:szCs w:val="26"/>
            <w14:ligatures w14:val="none"/>
          </w:rPr>
          <w:t>hoàn</w:t>
        </w:r>
        <w:proofErr w:type="spellEnd"/>
        <w:r w:rsidRPr="00154467">
          <w:rPr>
            <w:rFonts w:eastAsia="Times New Roman" w:cs="Times New Roman"/>
            <w:kern w:val="0"/>
            <w:szCs w:val="26"/>
            <w14:ligatures w14:val="none"/>
          </w:rPr>
          <w:t xml:space="preserve"> công</w:t>
        </w:r>
      </w:hyperlink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bao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3117A515" w14:textId="77777777" w:rsidR="00154467" w:rsidRPr="00154467" w:rsidRDefault="00154467" w:rsidP="00154467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khi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B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 để nộp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tại cơ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năng;</w:t>
      </w:r>
    </w:p>
    <w:p w14:paraId="7324F629" w14:textId="77777777" w:rsidR="00154467" w:rsidRPr="00154467" w:rsidRDefault="00154467" w:rsidP="00154467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mặt Bên A để chi hộ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nhà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Bên A có nghĩa vụ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6C04736F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3: Phí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vụ và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01CD62F0" w14:textId="77777777" w:rsidR="00154467" w:rsidRPr="00154467" w:rsidRDefault="00154467" w:rsidP="0015446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Phí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trọn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gói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…VNĐ;</w:t>
      </w:r>
    </w:p>
    <w:p w14:paraId="3F593D2C" w14:textId="77777777" w:rsidR="00154467" w:rsidRPr="00154467" w:rsidRDefault="00154467" w:rsidP="0015446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100% phí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cùng với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chi hộ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công;</w:t>
      </w:r>
    </w:p>
    <w:p w14:paraId="5D8C8C5D" w14:textId="77777777" w:rsidR="00154467" w:rsidRPr="00154467" w:rsidRDefault="00154467" w:rsidP="0015446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Phương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73F1B249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4: Trách nhiệm của Bên A</w:t>
      </w:r>
    </w:p>
    <w:p w14:paraId="1A5186F2" w14:textId="77777777" w:rsidR="00154467" w:rsidRPr="00154467" w:rsidRDefault="00154467" w:rsidP="0015446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Thanh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đúng hạn và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đủ;</w:t>
      </w:r>
    </w:p>
    <w:p w14:paraId="44B29F19" w14:textId="77777777" w:rsidR="00154467" w:rsidRPr="00154467" w:rsidRDefault="00154467" w:rsidP="0015446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Cung cấp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tin, giấy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B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138E49DE" w14:textId="77777777" w:rsidR="00154467" w:rsidRPr="00154467" w:rsidRDefault="00154467" w:rsidP="0015446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Nộp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4B47D93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5: Trách nhiệm của Bên B</w:t>
      </w:r>
    </w:p>
    <w:p w14:paraId="2B424586" w14:textId="77777777" w:rsidR="00154467" w:rsidRPr="00154467" w:rsidRDefault="00154467" w:rsidP="00154467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Thay mặt Bên 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trình tự pháp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2871E658" w14:textId="77777777" w:rsidR="00154467" w:rsidRPr="00154467" w:rsidRDefault="00154467" w:rsidP="00154467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Tư vấn, giải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đáp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nội dung công việc;</w:t>
      </w:r>
    </w:p>
    <w:p w14:paraId="349E8E71" w14:textId="77777777" w:rsidR="00154467" w:rsidRPr="00154467" w:rsidRDefault="00154467" w:rsidP="00154467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Cập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công việc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xuyên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A.</w:t>
      </w:r>
    </w:p>
    <w:p w14:paraId="41CB6209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Điều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</w:t>
      </w:r>
    </w:p>
    <w:p w14:paraId="327CDD12" w14:textId="77777777" w:rsidR="00154467" w:rsidRPr="00154467" w:rsidRDefault="00154467" w:rsidP="00154467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hợp đồng mà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cách giải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được xem là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và sẽ được giải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cơ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hòa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không quá 03 (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) lần;</w:t>
      </w:r>
    </w:p>
    <w:p w14:paraId="7B39C14B" w14:textId="77777777" w:rsidR="00154467" w:rsidRPr="00154467" w:rsidRDefault="00154467" w:rsidP="00154467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Nếu quá 03 (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lần mà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vẫn không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chung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sẽ được đưa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án.</w:t>
      </w:r>
    </w:p>
    <w:p w14:paraId="71B95E91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7: Trường hợp bất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kháng</w:t>
      </w:r>
      <w:proofErr w:type="spellEnd"/>
    </w:p>
    <w:p w14:paraId="6F6DD87C" w14:textId="77777777" w:rsidR="00154467" w:rsidRPr="00154467" w:rsidRDefault="00154467" w:rsidP="00154467">
      <w:pPr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nằm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ý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chí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và không bên nào có thể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không thể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phụ được bằng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và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phép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chiến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tai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nội chiến,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đình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cấm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thiên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tai …. được xem là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416F7F8" w14:textId="77777777" w:rsidR="00154467" w:rsidRPr="00154467" w:rsidRDefault="00154467" w:rsidP="00154467">
      <w:pPr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Nếu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vì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không thể tiếp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không đúng hợp đồng thì không bị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truy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cứu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trách nhiệm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 phạm và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6033C6B9" w14:textId="77777777" w:rsidR="00154467" w:rsidRPr="00154467" w:rsidRDefault="00154467" w:rsidP="00154467">
      <w:pPr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gặp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thông báo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văn bản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còn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khoảng thời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 ngày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biết có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phải 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ngăn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chặn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năng để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3D5B9B0C" w14:textId="77777777" w:rsidR="00154467" w:rsidRPr="00154467" w:rsidRDefault="00154467" w:rsidP="00154467">
      <w:pPr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trường hợp bên gặp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 phạm hợp đồng do sự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không thực hiện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 như đã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ngăn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chặn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vẫn phải chịu trách nhiệm do vi phạm </w:t>
      </w:r>
      <w:hyperlink r:id="rId7" w:history="1">
        <w:r w:rsidRPr="00154467">
          <w:rPr>
            <w:rFonts w:eastAsia="Times New Roman" w:cs="Times New Roman"/>
            <w:kern w:val="0"/>
            <w:szCs w:val="26"/>
            <w14:ligatures w14:val="none"/>
          </w:rPr>
          <w:t>hợp đồng</w:t>
        </w:r>
      </w:hyperlink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được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hợp đồng này.</w:t>
      </w:r>
    </w:p>
    <w:p w14:paraId="7E57EE27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8: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Phạt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vi phạm và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bồi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thường</w:t>
      </w:r>
      <w:proofErr w:type="spellEnd"/>
    </w:p>
    <w:p w14:paraId="0E58435C" w14:textId="77777777" w:rsidR="00154467" w:rsidRPr="00154467" w:rsidRDefault="00154467" w:rsidP="00154467">
      <w:pPr>
        <w:numPr>
          <w:ilvl w:val="0"/>
          <w:numId w:val="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nào vi phạm 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thì đều phải chịu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 phạm với </w:t>
      </w:r>
      <w:proofErr w:type="spellStart"/>
      <w:proofErr w:type="gram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</w:p>
    <w:p w14:paraId="6B1CD731" w14:textId="77777777" w:rsidR="00154467" w:rsidRPr="00154467" w:rsidRDefault="00154467" w:rsidP="00154467">
      <w:pPr>
        <w:numPr>
          <w:ilvl w:val="0"/>
          <w:numId w:val="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Bất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nào vi phạm hợp đồng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thì sẽ chịu trách nhiệm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4C786A89" w14:textId="77777777" w:rsidR="00154467" w:rsidRPr="00154467" w:rsidRDefault="00154467" w:rsidP="00154467">
      <w:pPr>
        <w:numPr>
          <w:ilvl w:val="0"/>
          <w:numId w:val="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và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30 ngày,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bên vi phạm nhận được văn bản thông báo về tiền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đồng,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bên bị vi phạm.</w:t>
      </w:r>
    </w:p>
    <w:p w14:paraId="429BEDCD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Hình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tiền mặt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2FE97C1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9: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ngừng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</w:t>
      </w:r>
    </w:p>
    <w:p w14:paraId="2C10AF7D" w14:textId="77777777" w:rsidR="00154467" w:rsidRPr="00154467" w:rsidRDefault="00154467" w:rsidP="00154467">
      <w:pPr>
        <w:numPr>
          <w:ilvl w:val="0"/>
          <w:numId w:val="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ngừng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1729294D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</w:t>
      </w:r>
    </w:p>
    <w:p w14:paraId="21222F1D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</w:t>
      </w:r>
    </w:p>
    <w:p w14:paraId="37763198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…</w:t>
      </w:r>
    </w:p>
    <w:p w14:paraId="4C5967B0" w14:textId="77777777" w:rsidR="00154467" w:rsidRPr="00154467" w:rsidRDefault="00154467" w:rsidP="00154467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1CEBB21E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</w:t>
      </w:r>
    </w:p>
    <w:p w14:paraId="191CE0F3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–</w:t>
      </w:r>
    </w:p>
    <w:p w14:paraId="03EE78A9" w14:textId="77777777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…</w:t>
      </w:r>
    </w:p>
    <w:p w14:paraId="6E97AF94" w14:textId="77777777" w:rsidR="00154467" w:rsidRPr="00154467" w:rsidRDefault="00154467" w:rsidP="00154467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10: Hiệu lực hợp đồng</w:t>
      </w:r>
    </w:p>
    <w:p w14:paraId="4C37A5D8" w14:textId="77777777" w:rsidR="00154467" w:rsidRPr="00154467" w:rsidRDefault="00154467" w:rsidP="00154467">
      <w:pPr>
        <w:numPr>
          <w:ilvl w:val="0"/>
          <w:numId w:val="1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có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tính từ thời điểm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0DE22AA9" w14:textId="77777777" w:rsidR="00154467" w:rsidRPr="00154467" w:rsidRDefault="00154467" w:rsidP="00154467">
      <w:pPr>
        <w:numPr>
          <w:ilvl w:val="0"/>
          <w:numId w:val="1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bao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được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2 bản, mỗi bên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15446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có giá trị pháp lý như nhau.</w:t>
      </w:r>
    </w:p>
    <w:p w14:paraId="27F64005" w14:textId="77777777" w:rsidR="00154467" w:rsidRDefault="00154467" w:rsidP="00154467">
      <w:pPr>
        <w:shd w:val="clear" w:color="auto" w:fill="FFFFFF"/>
        <w:spacing w:after="0" w:line="375" w:lineRule="atLeast"/>
        <w:ind w:left="720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5D1AC51B" w14:textId="77777777" w:rsidR="00154467" w:rsidRPr="00154467" w:rsidRDefault="00154467" w:rsidP="00154467">
      <w:pPr>
        <w:shd w:val="clear" w:color="auto" w:fill="FFFFFF"/>
        <w:spacing w:after="0" w:line="375" w:lineRule="atLeast"/>
        <w:ind w:left="720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</w:p>
    <w:p w14:paraId="52CAC0EF" w14:textId="1F2BCB30" w:rsidR="00154467" w:rsidRPr="00154467" w:rsidRDefault="00154467" w:rsidP="001544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                 </w:t>
      </w: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ĐẠI DIỆN BÊN A</w:t>
      </w: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                                              </w:t>
      </w:r>
      <w:r w:rsidRPr="0015446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ĐẠI DIỆN BÊN B</w:t>
      </w:r>
    </w:p>
    <w:p w14:paraId="0B565FB9" w14:textId="77777777" w:rsidR="00BA00B3" w:rsidRPr="00154467" w:rsidRDefault="00BA00B3">
      <w:pPr>
        <w:rPr>
          <w:rFonts w:cs="Times New Roman"/>
          <w:szCs w:val="26"/>
        </w:rPr>
      </w:pPr>
    </w:p>
    <w:sectPr w:rsidR="00BA00B3" w:rsidRPr="0015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677"/>
    <w:multiLevelType w:val="multilevel"/>
    <w:tmpl w:val="1F0A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33D64"/>
    <w:multiLevelType w:val="multilevel"/>
    <w:tmpl w:val="C616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7350"/>
    <w:multiLevelType w:val="multilevel"/>
    <w:tmpl w:val="4D0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81A24"/>
    <w:multiLevelType w:val="multilevel"/>
    <w:tmpl w:val="2240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51414"/>
    <w:multiLevelType w:val="multilevel"/>
    <w:tmpl w:val="CB6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233E8"/>
    <w:multiLevelType w:val="multilevel"/>
    <w:tmpl w:val="F21A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A64C9"/>
    <w:multiLevelType w:val="multilevel"/>
    <w:tmpl w:val="6106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8544E"/>
    <w:multiLevelType w:val="multilevel"/>
    <w:tmpl w:val="F184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747DE"/>
    <w:multiLevelType w:val="multilevel"/>
    <w:tmpl w:val="8FD2D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667A4"/>
    <w:multiLevelType w:val="multilevel"/>
    <w:tmpl w:val="8F28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004985">
    <w:abstractNumId w:val="5"/>
  </w:num>
  <w:num w:numId="2" w16cid:durableId="2029328601">
    <w:abstractNumId w:val="6"/>
  </w:num>
  <w:num w:numId="3" w16cid:durableId="1191257800">
    <w:abstractNumId w:val="7"/>
  </w:num>
  <w:num w:numId="4" w16cid:durableId="1800296363">
    <w:abstractNumId w:val="1"/>
  </w:num>
  <w:num w:numId="5" w16cid:durableId="874193160">
    <w:abstractNumId w:val="0"/>
  </w:num>
  <w:num w:numId="6" w16cid:durableId="102918723">
    <w:abstractNumId w:val="9"/>
  </w:num>
  <w:num w:numId="7" w16cid:durableId="433209226">
    <w:abstractNumId w:val="4"/>
  </w:num>
  <w:num w:numId="8" w16cid:durableId="273824537">
    <w:abstractNumId w:val="3"/>
  </w:num>
  <w:num w:numId="9" w16cid:durableId="1468087650">
    <w:abstractNumId w:val="8"/>
  </w:num>
  <w:num w:numId="10" w16cid:durableId="190730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7"/>
    <w:rsid w:val="00154467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4C3A"/>
  <w15:chartTrackingRefBased/>
  <w15:docId w15:val="{32566A15-27C9-4232-9EBC-FC231D8A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15446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4467"/>
    <w:rPr>
      <w:b/>
      <w:bCs/>
    </w:rPr>
  </w:style>
  <w:style w:type="character" w:styleId="Emphasis">
    <w:name w:val="Emphasis"/>
    <w:basedOn w:val="DefaultParagraphFont"/>
    <w:uiPriority w:val="20"/>
    <w:qFormat/>
    <w:rsid w:val="0015446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4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905">
          <w:marLeft w:val="0"/>
          <w:marRight w:val="0"/>
          <w:marTop w:val="0"/>
          <w:marBottom w:val="150"/>
          <w:divBdr>
            <w:top w:val="single" w:sz="12" w:space="0" w:color="93371C"/>
            <w:left w:val="single" w:sz="12" w:space="0" w:color="93371C"/>
            <w:bottom w:val="single" w:sz="12" w:space="0" w:color="93371C"/>
            <w:right w:val="single" w:sz="12" w:space="0" w:color="93371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luat.com/2022/04/15/hop-dong-dich-vu-an-uong-du-l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luat.com/2022/04/13/hop-dong-thue-tu-van-ky-thuat/" TargetMode="External"/><Relationship Id="rId5" Type="http://schemas.openxmlformats.org/officeDocument/2006/relationships/hyperlink" Target="https://wikiluat.com/2022/04/06/hop-dong-thi-cong-hoan-thien-can-h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2024-01-25T03:46:00Z</dcterms:created>
  <dcterms:modified xsi:type="dcterms:W3CDTF">2024-01-25T03:48:00Z</dcterms:modified>
</cp:coreProperties>
</file>